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936B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</w:p>
    <w:p w14:paraId="774359AB" w14:textId="77777777"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5"/>
        <w:gridCol w:w="3650"/>
        <w:gridCol w:w="2064"/>
      </w:tblGrid>
      <w:tr w:rsidR="00600688" w:rsidRPr="00712607" w14:paraId="24C831B8" w14:textId="77777777" w:rsidTr="00E74604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6DD3E13D" w14:textId="77777777" w:rsidR="00600688" w:rsidRPr="00712607" w:rsidRDefault="00600688" w:rsidP="00712607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907D9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07D95"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7474E58E" w14:textId="77777777" w:rsidR="00600688" w:rsidRPr="00712607" w:rsidRDefault="003935D2" w:rsidP="00712607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907D95">
              <w:rPr>
                <w:rFonts w:ascii="Arial" w:hAnsi="Arial" w:cs="Arial"/>
                <w:b/>
                <w:sz w:val="16"/>
                <w:szCs w:val="16"/>
              </w:rPr>
              <w:t>Staf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4397774A" w14:textId="77777777" w:rsidR="00600688" w:rsidRPr="00712607" w:rsidRDefault="003935D2" w:rsidP="00712607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B0471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="00CC2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2F281F89" w14:textId="77777777" w:rsidR="00600688" w:rsidRPr="00712607" w:rsidRDefault="00600688" w:rsidP="00712607">
      <w:pPr>
        <w:ind w:right="-6"/>
      </w:pPr>
    </w:p>
    <w:p w14:paraId="314E8D62" w14:textId="77777777"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Context</w:t>
      </w:r>
    </w:p>
    <w:p w14:paraId="2D92AE70" w14:textId="77777777" w:rsidR="00600688" w:rsidRPr="00456B74" w:rsidRDefault="0033477A" w:rsidP="00712607">
      <w:pPr>
        <w:ind w:right="-6"/>
      </w:pPr>
      <w:r>
        <w:t xml:space="preserve">De medewerker administratie II </w:t>
      </w:r>
      <w:r w:rsidR="00D44A6A">
        <w:t>i</w:t>
      </w:r>
      <w:r>
        <w:t xml:space="preserve">s gepositioneerd in een middelgroot of groot loonbedrijf, waar de </w:t>
      </w:r>
      <w:r w:rsidR="004E576E">
        <w:t xml:space="preserve">financiële </w:t>
      </w:r>
      <w:r>
        <w:t>administratie wordt uitgevoerd door meerdere personen</w:t>
      </w:r>
      <w:r w:rsidR="004E576E">
        <w:t xml:space="preserve">, waardoor de werkzaamheden kunnen worden verdeeld over meerdere, verbijzonderde functies (zoals crediteuren, debiteuren, salarisadministratie, grootboek, e.d.). De financiële administratie levert financiële informatie, overzichten, en </w:t>
      </w:r>
      <w:r w:rsidR="004E576E" w:rsidRPr="00456B74">
        <w:t xml:space="preserve">toelichtingen ten behoeve van de planning- en control-cyclus. </w:t>
      </w:r>
      <w:r w:rsidR="00600688" w:rsidRPr="00456B74">
        <w:t>De functie</w:t>
      </w:r>
      <w:r w:rsidR="004E576E" w:rsidRPr="00456B74">
        <w:t xml:space="preserve"> medewerker administratie II is verantwoordelijk voor het verzorgen van </w:t>
      </w:r>
      <w:r w:rsidR="00BC628A" w:rsidRPr="00456B74">
        <w:t>diverse</w:t>
      </w:r>
      <w:r w:rsidR="004E576E" w:rsidRPr="00456B74">
        <w:t xml:space="preserve"> sub-administraties, waartoe functiehouder gegevens verwerkt, controleert en interpreteert. Daarnaast bereidt de medewerker administratie II de periodieke afsluitingen en financiële rapportages voor.</w:t>
      </w:r>
    </w:p>
    <w:p w14:paraId="6F3ABD40" w14:textId="77777777" w:rsidR="00432C22" w:rsidRPr="00456B74" w:rsidRDefault="00432C22" w:rsidP="00712607">
      <w:pPr>
        <w:ind w:right="-6"/>
      </w:pPr>
    </w:p>
    <w:p w14:paraId="3B7B33CA" w14:textId="77777777" w:rsidR="00432C22" w:rsidRPr="00456B74" w:rsidRDefault="00432C22" w:rsidP="00432C22">
      <w:pPr>
        <w:ind w:right="-6"/>
      </w:pPr>
      <w:r w:rsidRPr="00456B74">
        <w:t xml:space="preserve">De functie </w:t>
      </w:r>
      <w:r w:rsidR="00907D95" w:rsidRPr="00456B74">
        <w:t>medewerker administratie</w:t>
      </w:r>
      <w:r w:rsidRPr="00456B74">
        <w:t xml:space="preserve"> wordt onderscheiden op drie niveaus. De verschillen tussen de </w:t>
      </w:r>
      <w:r w:rsidR="00907D95" w:rsidRPr="00456B74">
        <w:t xml:space="preserve">medewerker administratie </w:t>
      </w:r>
      <w:r w:rsidRPr="00456B74">
        <w:t>I, II en III zijn uitgewerkt in de bijlage met Niveau-onderscheidende Kenmerken (NOK).</w:t>
      </w:r>
    </w:p>
    <w:p w14:paraId="007EA9D3" w14:textId="77777777" w:rsidR="00600688" w:rsidRPr="00456B74" w:rsidRDefault="00600688" w:rsidP="00712607">
      <w:pPr>
        <w:ind w:right="-6"/>
      </w:pPr>
    </w:p>
    <w:p w14:paraId="1645A42D" w14:textId="77777777" w:rsidR="003935D2" w:rsidRPr="00456B74" w:rsidRDefault="003935D2" w:rsidP="003935D2">
      <w:pPr>
        <w:ind w:right="-6"/>
      </w:pPr>
      <w:r w:rsidRPr="00456B74">
        <w:t>Leidinggevende:</w:t>
      </w:r>
      <w:r w:rsidRPr="00456B74">
        <w:tab/>
      </w:r>
      <w:r w:rsidR="00907D95" w:rsidRPr="00456B74">
        <w:t>vakinhoudelijk leidinggevende</w:t>
      </w:r>
    </w:p>
    <w:p w14:paraId="08B7FF62" w14:textId="77777777" w:rsidR="003935D2" w:rsidRPr="00456B74" w:rsidRDefault="003935D2" w:rsidP="003935D2">
      <w:pPr>
        <w:ind w:right="-6"/>
      </w:pPr>
      <w:r w:rsidRPr="00456B74">
        <w:t>Geeft leiding aan:</w:t>
      </w:r>
      <w:r w:rsidRPr="00456B74">
        <w:tab/>
        <w:t>niet van toepassing</w:t>
      </w:r>
    </w:p>
    <w:p w14:paraId="15CD17F3" w14:textId="77777777" w:rsidR="003935D2" w:rsidRPr="00456B74" w:rsidRDefault="003935D2" w:rsidP="00712607">
      <w:pPr>
        <w:ind w:right="-6"/>
      </w:pPr>
    </w:p>
    <w:p w14:paraId="781C9017" w14:textId="77777777" w:rsidR="00600688" w:rsidRPr="00456B74" w:rsidRDefault="00600688" w:rsidP="00712607">
      <w:pPr>
        <w:ind w:right="-6"/>
        <w:rPr>
          <w:b/>
        </w:rPr>
      </w:pPr>
      <w:r w:rsidRPr="00456B74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456B74" w14:paraId="4382668B" w14:textId="77777777" w:rsidTr="00AF2F8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7AD0BD7F" w14:textId="77777777" w:rsidR="00600688" w:rsidRPr="00456B74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456B74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3502B264" w14:textId="77777777" w:rsidR="00600688" w:rsidRPr="00456B74" w:rsidRDefault="00600688" w:rsidP="00712607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456B74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BC628A" w:rsidRPr="00456B74" w14:paraId="6161C999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7CA4AF85" w14:textId="77777777" w:rsidR="00BC628A" w:rsidRPr="00456B74" w:rsidRDefault="00BC628A" w:rsidP="00620D44">
            <w:pPr>
              <w:rPr>
                <w:b/>
                <w:bCs/>
                <w:iCs/>
              </w:rPr>
            </w:pPr>
            <w:r w:rsidRPr="00456B74">
              <w:rPr>
                <w:b/>
                <w:bCs/>
                <w:iCs/>
              </w:rPr>
              <w:t xml:space="preserve">Verzorgen van diverse specifieke </w:t>
            </w:r>
            <w:proofErr w:type="spellStart"/>
            <w:r w:rsidRPr="00456B74">
              <w:rPr>
                <w:b/>
                <w:bCs/>
                <w:iCs/>
              </w:rPr>
              <w:t>subadministraties</w:t>
            </w:r>
            <w:proofErr w:type="spellEnd"/>
          </w:p>
          <w:p w14:paraId="54EE7707" w14:textId="77777777" w:rsidR="00BC628A" w:rsidRPr="00456B74" w:rsidRDefault="00BC628A" w:rsidP="00620D44">
            <w:r w:rsidRPr="00456B74">
              <w:t xml:space="preserve">Door het verzamelen, controleren, bewerken en verwerken van relevante (financiële) gegevens zijn diverse </w:t>
            </w:r>
            <w:proofErr w:type="spellStart"/>
            <w:r w:rsidRPr="00456B74">
              <w:t>subadministraties</w:t>
            </w:r>
            <w:proofErr w:type="spellEnd"/>
            <w:r w:rsidRPr="00456B74">
              <w:t xml:space="preserve"> (debiteuren, crediteuren, </w:t>
            </w:r>
            <w:r w:rsidR="008D4AFB" w:rsidRPr="00456B74">
              <w:t xml:space="preserve">projecten, </w:t>
            </w:r>
            <w:r w:rsidRPr="00456B74">
              <w:t xml:space="preserve">voorraad-, btw-, vaste-activa-administratie) verzorgd, waarbij onduidelijkheden en onvolkomenheden worden afgestemd met in- en extern betrokkenen om te komen tot een juiste interpretatie en juiste verwerking.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5B592F2B" w14:textId="77777777" w:rsidR="00BC628A" w:rsidRPr="00456B74" w:rsidRDefault="00BC628A" w:rsidP="00BD1484">
            <w:pPr>
              <w:ind w:left="284" w:hanging="284"/>
            </w:pPr>
            <w:r w:rsidRPr="00456B74">
              <w:t>-</w:t>
            </w:r>
            <w:r w:rsidRPr="00456B74">
              <w:tab/>
              <w:t>tijdige verwerking (geen achterstand);</w:t>
            </w:r>
          </w:p>
          <w:p w14:paraId="0773667B" w14:textId="77777777" w:rsidR="00BC628A" w:rsidRPr="00456B74" w:rsidRDefault="00BC628A" w:rsidP="00BD1484">
            <w:pPr>
              <w:ind w:left="284" w:hanging="284"/>
            </w:pPr>
            <w:r w:rsidRPr="00456B74">
              <w:t>-</w:t>
            </w:r>
            <w:r w:rsidRPr="00456B74">
              <w:tab/>
              <w:t>naleving van regels, richtlijnen;</w:t>
            </w:r>
          </w:p>
          <w:p w14:paraId="712F38B3" w14:textId="77777777" w:rsidR="00BC628A" w:rsidRPr="00456B74" w:rsidRDefault="00BC628A" w:rsidP="00BD1484">
            <w:pPr>
              <w:ind w:left="284" w:hanging="284"/>
            </w:pPr>
            <w:r w:rsidRPr="00456B74">
              <w:t>-</w:t>
            </w:r>
            <w:r w:rsidRPr="00456B74">
              <w:tab/>
              <w:t>juiste opvolging onduidelijkheden, onvolkomenheden in- en extern;</w:t>
            </w:r>
          </w:p>
          <w:p w14:paraId="3B9F17D3" w14:textId="77777777" w:rsidR="00BC628A" w:rsidRPr="00456B74" w:rsidRDefault="00BC628A" w:rsidP="00BD1484">
            <w:pPr>
              <w:ind w:left="284" w:hanging="284"/>
            </w:pPr>
            <w:r w:rsidRPr="00456B74">
              <w:t>-</w:t>
            </w:r>
            <w:r w:rsidRPr="00456B74">
              <w:tab/>
              <w:t>aantal correcties achteraf.</w:t>
            </w:r>
          </w:p>
        </w:tc>
      </w:tr>
      <w:tr w:rsidR="00BC628A" w:rsidRPr="00456B74" w14:paraId="336D32E5" w14:textId="77777777" w:rsidTr="00E74604">
        <w:tc>
          <w:tcPr>
            <w:tcW w:w="4820" w:type="dxa"/>
            <w:tcMar>
              <w:top w:w="28" w:type="dxa"/>
              <w:bottom w:w="28" w:type="dxa"/>
            </w:tcMar>
          </w:tcPr>
          <w:p w14:paraId="7F7FEB83" w14:textId="77777777" w:rsidR="00BC628A" w:rsidRPr="00456B74" w:rsidRDefault="00BC628A" w:rsidP="00620D44">
            <w:pPr>
              <w:rPr>
                <w:b/>
                <w:bCs/>
                <w:iCs/>
              </w:rPr>
            </w:pPr>
            <w:r w:rsidRPr="00456B74">
              <w:rPr>
                <w:b/>
                <w:bCs/>
                <w:iCs/>
              </w:rPr>
              <w:t>Periodieke afsluiting</w:t>
            </w:r>
          </w:p>
          <w:p w14:paraId="697B073C" w14:textId="77777777" w:rsidR="00BC628A" w:rsidRPr="00456B74" w:rsidRDefault="00BC628A" w:rsidP="00620D44">
            <w:r w:rsidRPr="00456B74">
              <w:t>De afsluiting van diverse sub- en de grootboekadministraties is verzorgd, waarbij de door controle geconstateerde verschillen zijn uitgezocht en hersteld.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2FD1725F" w14:textId="77777777" w:rsidR="00BC628A" w:rsidRPr="00456B74" w:rsidRDefault="00BC628A" w:rsidP="00BD1484">
            <w:pPr>
              <w:ind w:left="284" w:hanging="284"/>
              <w:rPr>
                <w:lang w:bidi="x-none"/>
              </w:rPr>
            </w:pPr>
            <w:r w:rsidRPr="00456B74">
              <w:rPr>
                <w:lang w:bidi="x-none"/>
              </w:rPr>
              <w:t>-</w:t>
            </w:r>
            <w:r w:rsidRPr="00456B74">
              <w:rPr>
                <w:lang w:bidi="x-none"/>
              </w:rPr>
              <w:tab/>
              <w:t>geconstateerde en opgeloste verschillen;</w:t>
            </w:r>
          </w:p>
          <w:p w14:paraId="111D7DBB" w14:textId="77777777" w:rsidR="00BC628A" w:rsidRPr="00456B74" w:rsidRDefault="00BC628A" w:rsidP="00BD1484">
            <w:pPr>
              <w:ind w:left="284" w:hanging="284"/>
              <w:rPr>
                <w:lang w:bidi="x-none"/>
              </w:rPr>
            </w:pPr>
            <w:r w:rsidRPr="00456B74">
              <w:rPr>
                <w:lang w:bidi="x-none"/>
              </w:rPr>
              <w:t>-</w:t>
            </w:r>
            <w:r w:rsidRPr="00456B74">
              <w:rPr>
                <w:lang w:bidi="x-none"/>
              </w:rPr>
              <w:tab/>
              <w:t>binnen gestelde termijn.</w:t>
            </w:r>
          </w:p>
        </w:tc>
      </w:tr>
      <w:tr w:rsidR="00BC628A" w:rsidRPr="00712607" w14:paraId="512FD585" w14:textId="77777777" w:rsidTr="00574160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F464B5C" w14:textId="77777777" w:rsidR="00BC628A" w:rsidRPr="00456B74" w:rsidRDefault="00BC628A" w:rsidP="00620D44">
            <w:pPr>
              <w:rPr>
                <w:b/>
                <w:bCs/>
                <w:iCs/>
              </w:rPr>
            </w:pPr>
            <w:r w:rsidRPr="00456B74">
              <w:rPr>
                <w:b/>
                <w:bCs/>
                <w:iCs/>
              </w:rPr>
              <w:t>Opstellen van onderdelen van de periodieke rapportages</w:t>
            </w:r>
          </w:p>
          <w:p w14:paraId="46C61643" w14:textId="77777777" w:rsidR="00BC628A" w:rsidRPr="00456B74" w:rsidRDefault="00BC628A" w:rsidP="00620D44">
            <w:r w:rsidRPr="00456B74">
              <w:t>Vanuit het systeem zijn onderdelen van de periodieke financiële rapportages opgeleverd, inclusief cijfermatige toelichtingen (geconstateerde verschillen tussen begroting en realisatie).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50DC56" w14:textId="77777777" w:rsidR="00BC628A" w:rsidRPr="00456B74" w:rsidRDefault="00BC628A" w:rsidP="00BD1484">
            <w:pPr>
              <w:ind w:left="284" w:hanging="284"/>
            </w:pPr>
            <w:r w:rsidRPr="00456B74">
              <w:t>-</w:t>
            </w:r>
            <w:r w:rsidRPr="00456B74">
              <w:tab/>
              <w:t>betrouwbaarheid van rapportages;</w:t>
            </w:r>
          </w:p>
          <w:p w14:paraId="11219A79" w14:textId="77777777" w:rsidR="00BC628A" w:rsidRDefault="00BC628A" w:rsidP="00BD1484">
            <w:pPr>
              <w:ind w:left="284" w:hanging="284"/>
            </w:pPr>
            <w:r w:rsidRPr="00456B74">
              <w:t>-</w:t>
            </w:r>
            <w:r w:rsidRPr="00456B74">
              <w:tab/>
              <w:t>binnen gestelde termijnen.</w:t>
            </w:r>
          </w:p>
        </w:tc>
      </w:tr>
      <w:tr w:rsidR="002F61BA" w:rsidRPr="00C24A5C" w14:paraId="4D1BD978" w14:textId="77777777" w:rsidTr="00574160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331F26AF" w14:textId="77777777"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2F61BA" w:rsidRPr="00C24A5C" w14:paraId="0D11F2B2" w14:textId="77777777" w:rsidTr="00607FC7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2BEE3" w14:textId="77777777" w:rsidR="002F61BA" w:rsidRPr="00C24A5C" w:rsidRDefault="00907D95" w:rsidP="00574160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Eenzijdige houding en belasting van oog-</w:t>
            </w:r>
            <w:r w:rsidR="00F07BC4">
              <w:t>,</w:t>
            </w:r>
            <w:r>
              <w:t xml:space="preserve"> rug</w:t>
            </w:r>
            <w:r w:rsidR="00F07BC4">
              <w:t>-, schouder- en arm</w:t>
            </w:r>
            <w:r>
              <w:t>spieren bij het werken met de computer.</w:t>
            </w:r>
          </w:p>
        </w:tc>
      </w:tr>
      <w:tr w:rsidR="00607FC7" w:rsidRPr="00C24A5C" w14:paraId="120DE023" w14:textId="77777777" w:rsidTr="00607FC7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2D402D12" w14:textId="3E0B898F" w:rsidR="00607FC7" w:rsidRDefault="00607FC7" w:rsidP="00607FC7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607FC7" w:rsidRPr="00C24A5C" w14:paraId="561A9D98" w14:textId="77777777" w:rsidTr="00A05703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4F4EB3" w14:textId="77777777" w:rsidR="00607FC7" w:rsidRPr="00B64198" w:rsidRDefault="00607FC7" w:rsidP="00607FC7">
            <w:pPr>
              <w:ind w:left="284" w:hanging="284"/>
            </w:pPr>
            <w:r w:rsidRPr="00B64198">
              <w:t>-</w:t>
            </w:r>
            <w:r w:rsidRPr="00B64198">
              <w:tab/>
            </w:r>
            <w:r>
              <w:t>MBO werk- en denkniveau (richting administratie);</w:t>
            </w:r>
          </w:p>
          <w:p w14:paraId="6A8B0C28" w14:textId="77777777" w:rsidR="00607FC7" w:rsidRDefault="00607FC7" w:rsidP="00607FC7">
            <w:pPr>
              <w:ind w:left="284" w:hanging="284"/>
            </w:pPr>
            <w:r w:rsidRPr="00B64198">
              <w:t>-</w:t>
            </w:r>
            <w:r w:rsidRPr="00B64198">
              <w:tab/>
            </w:r>
            <w:r>
              <w:t>basiskennis van financiële administratie;</w:t>
            </w:r>
          </w:p>
          <w:p w14:paraId="334286ED" w14:textId="40BCCBBA" w:rsidR="00607FC7" w:rsidRDefault="00607FC7" w:rsidP="00607FC7">
            <w:pPr>
              <w:ind w:left="284" w:hanging="284"/>
            </w:pPr>
            <w:r>
              <w:t>-</w:t>
            </w:r>
            <w:r>
              <w:tab/>
              <w:t>kennis van en ervaring met de gehanteerde kantoorautomatisering;</w:t>
            </w:r>
          </w:p>
          <w:p w14:paraId="7D4B8AD9" w14:textId="7649D415" w:rsidR="00607FC7" w:rsidRPr="00607FC7" w:rsidRDefault="00607FC7" w:rsidP="00607FC7">
            <w:pPr>
              <w:ind w:left="284" w:hanging="284"/>
            </w:pPr>
            <w:r>
              <w:t>-</w:t>
            </w:r>
            <w:r>
              <w:tab/>
              <w:t>kennis van het financieel-administratieve proces en te hanteren procedures en voorschriften</w:t>
            </w:r>
            <w:r w:rsidRPr="00B64198">
              <w:t>.</w:t>
            </w:r>
          </w:p>
        </w:tc>
      </w:tr>
      <w:tr w:rsidR="00607FC7" w:rsidRPr="00C24A5C" w14:paraId="22894BFD" w14:textId="77777777" w:rsidTr="00607FC7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64015791" w14:textId="0924A594" w:rsidR="00607FC7" w:rsidRDefault="00607FC7" w:rsidP="00607FC7">
            <w:pPr>
              <w:ind w:left="284" w:hanging="284"/>
            </w:pPr>
          </w:p>
        </w:tc>
      </w:tr>
    </w:tbl>
    <w:p w14:paraId="5F6FCF1F" w14:textId="77777777" w:rsidR="001E27BA" w:rsidRPr="00712607" w:rsidRDefault="001E27BA" w:rsidP="00712607"/>
    <w:p w14:paraId="5F69C80E" w14:textId="77777777" w:rsidR="001E27BA" w:rsidRPr="00712607" w:rsidRDefault="001E27BA" w:rsidP="00712607"/>
    <w:p w14:paraId="782C9B39" w14:textId="77777777" w:rsidR="001E27BA" w:rsidRPr="00712607" w:rsidRDefault="001E27BA" w:rsidP="00712607"/>
    <w:p w14:paraId="624BC740" w14:textId="77777777"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B988" w14:textId="77777777" w:rsidR="00376281" w:rsidRDefault="00376281" w:rsidP="0099201E">
      <w:r>
        <w:separator/>
      </w:r>
    </w:p>
  </w:endnote>
  <w:endnote w:type="continuationSeparator" w:id="0">
    <w:p w14:paraId="19A00FA5" w14:textId="77777777" w:rsidR="00376281" w:rsidRDefault="00376281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8035546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2EB1FD8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FDED3B1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326C1AD9" w14:textId="5C8583F8" w:rsidR="0099201E" w:rsidRPr="00D851A2" w:rsidRDefault="00405A69" w:rsidP="00D851A2">
    <w:pPr>
      <w:pStyle w:val="Voettekst"/>
      <w:tabs>
        <w:tab w:val="right" w:pos="9632"/>
        <w:tab w:val="right" w:pos="15026"/>
      </w:tabs>
      <w:ind w:right="-43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2F7F" w14:textId="77777777" w:rsidR="00376281" w:rsidRDefault="00376281" w:rsidP="0099201E">
      <w:r>
        <w:separator/>
      </w:r>
    </w:p>
  </w:footnote>
  <w:footnote w:type="continuationSeparator" w:id="0">
    <w:p w14:paraId="6838D4B2" w14:textId="77777777" w:rsidR="00376281" w:rsidRDefault="00376281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84B0" w14:textId="077988E6" w:rsidR="00600688" w:rsidRPr="00600688" w:rsidRDefault="00907D95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MEDEWERKER ADMINISTRATIE</w:t>
    </w:r>
    <w:r w:rsidR="00D44A6A">
      <w:rPr>
        <w:b/>
        <w:sz w:val="28"/>
        <w:szCs w:val="28"/>
      </w:rPr>
      <w:t xml:space="preserve"> II</w:t>
    </w:r>
  </w:p>
  <w:p w14:paraId="52B7423B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14D9"/>
    <w:rsid w:val="00073015"/>
    <w:rsid w:val="000741DF"/>
    <w:rsid w:val="00086E69"/>
    <w:rsid w:val="00087C2C"/>
    <w:rsid w:val="000B7F47"/>
    <w:rsid w:val="000E2288"/>
    <w:rsid w:val="00106E05"/>
    <w:rsid w:val="001240A6"/>
    <w:rsid w:val="0017143A"/>
    <w:rsid w:val="00182CB5"/>
    <w:rsid w:val="001E27BA"/>
    <w:rsid w:val="001F7342"/>
    <w:rsid w:val="002126F6"/>
    <w:rsid w:val="00234B05"/>
    <w:rsid w:val="002F61BA"/>
    <w:rsid w:val="0031208C"/>
    <w:rsid w:val="0033477A"/>
    <w:rsid w:val="00343B60"/>
    <w:rsid w:val="00376281"/>
    <w:rsid w:val="003935D2"/>
    <w:rsid w:val="00397A57"/>
    <w:rsid w:val="003E2C9A"/>
    <w:rsid w:val="003F4FDB"/>
    <w:rsid w:val="00405A69"/>
    <w:rsid w:val="00432C22"/>
    <w:rsid w:val="00444B70"/>
    <w:rsid w:val="004463CC"/>
    <w:rsid w:val="00456B74"/>
    <w:rsid w:val="00462969"/>
    <w:rsid w:val="00474981"/>
    <w:rsid w:val="004E576E"/>
    <w:rsid w:val="004F7477"/>
    <w:rsid w:val="0050268C"/>
    <w:rsid w:val="0055566C"/>
    <w:rsid w:val="005602DB"/>
    <w:rsid w:val="005614ED"/>
    <w:rsid w:val="005648FE"/>
    <w:rsid w:val="00573476"/>
    <w:rsid w:val="005B0471"/>
    <w:rsid w:val="005F526A"/>
    <w:rsid w:val="00600688"/>
    <w:rsid w:val="00607FC7"/>
    <w:rsid w:val="00620D44"/>
    <w:rsid w:val="00624AFE"/>
    <w:rsid w:val="006566EC"/>
    <w:rsid w:val="006A32D9"/>
    <w:rsid w:val="006A766D"/>
    <w:rsid w:val="006C78DA"/>
    <w:rsid w:val="006D15B0"/>
    <w:rsid w:val="006F2A3C"/>
    <w:rsid w:val="00712607"/>
    <w:rsid w:val="007318D4"/>
    <w:rsid w:val="007341A3"/>
    <w:rsid w:val="00763599"/>
    <w:rsid w:val="007C5C98"/>
    <w:rsid w:val="007E3370"/>
    <w:rsid w:val="00810A85"/>
    <w:rsid w:val="00857CC5"/>
    <w:rsid w:val="008803C1"/>
    <w:rsid w:val="008A1010"/>
    <w:rsid w:val="008A1799"/>
    <w:rsid w:val="008D4AFB"/>
    <w:rsid w:val="008F2937"/>
    <w:rsid w:val="00907D95"/>
    <w:rsid w:val="009301A2"/>
    <w:rsid w:val="00961A36"/>
    <w:rsid w:val="00985254"/>
    <w:rsid w:val="00986D86"/>
    <w:rsid w:val="0099201E"/>
    <w:rsid w:val="00A02613"/>
    <w:rsid w:val="00AD4BFA"/>
    <w:rsid w:val="00AF2F8A"/>
    <w:rsid w:val="00B27FD5"/>
    <w:rsid w:val="00B35FC4"/>
    <w:rsid w:val="00B54704"/>
    <w:rsid w:val="00B57E47"/>
    <w:rsid w:val="00B759B3"/>
    <w:rsid w:val="00B85EDE"/>
    <w:rsid w:val="00BC628A"/>
    <w:rsid w:val="00BD1484"/>
    <w:rsid w:val="00BE4AB6"/>
    <w:rsid w:val="00C13E85"/>
    <w:rsid w:val="00C1726E"/>
    <w:rsid w:val="00C40F45"/>
    <w:rsid w:val="00C879A3"/>
    <w:rsid w:val="00C9401B"/>
    <w:rsid w:val="00CA29B0"/>
    <w:rsid w:val="00CC2E23"/>
    <w:rsid w:val="00D17BCF"/>
    <w:rsid w:val="00D44A6A"/>
    <w:rsid w:val="00D73F75"/>
    <w:rsid w:val="00D851A2"/>
    <w:rsid w:val="00D85325"/>
    <w:rsid w:val="00DD15BE"/>
    <w:rsid w:val="00DE1848"/>
    <w:rsid w:val="00F07BC4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C2FF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15B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5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26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21</cp:revision>
  <dcterms:created xsi:type="dcterms:W3CDTF">2019-12-17T14:49:00Z</dcterms:created>
  <dcterms:modified xsi:type="dcterms:W3CDTF">2021-02-04T14:39:00Z</dcterms:modified>
</cp:coreProperties>
</file>